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2D" w:rsidRDefault="00635C2D" w:rsidP="00635C2D">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635C2D" w:rsidRDefault="00635C2D" w:rsidP="00635C2D">
      <w:r>
        <w:rPr>
          <w:rFonts w:ascii="Arial" w:hAnsi="Arial" w:cs="Arial"/>
          <w:b/>
          <w:bCs/>
          <w:color w:val="0000FF"/>
          <w:sz w:val="26"/>
          <w:szCs w:val="26"/>
        </w:rPr>
        <w:t xml:space="preserve">                                                                               </w:t>
      </w:r>
    </w:p>
    <w:p w:rsidR="00635C2D" w:rsidRDefault="00635C2D" w:rsidP="00635C2D">
      <w:pPr>
        <w:rPr>
          <w:rFonts w:ascii="Arial" w:hAnsi="Arial" w:cs="Arial"/>
          <w:b/>
          <w:bCs/>
          <w:color w:val="0000FF"/>
          <w:sz w:val="28"/>
          <w:szCs w:val="28"/>
        </w:rPr>
      </w:pPr>
      <w:r>
        <w:rPr>
          <w:rFonts w:ascii="Arial" w:hAnsi="Arial" w:cs="Arial"/>
          <w:b/>
          <w:bCs/>
          <w:color w:val="0000FF"/>
          <w:sz w:val="28"/>
          <w:szCs w:val="28"/>
        </w:rPr>
        <w:t>Information for Water Industry Managers and Practitioners in the Queensland Water Industry</w:t>
      </w:r>
    </w:p>
    <w:p w:rsidR="00635C2D" w:rsidRDefault="00635C2D" w:rsidP="00635C2D">
      <w:pPr>
        <w:rPr>
          <w:rFonts w:ascii="Arial" w:hAnsi="Arial" w:cs="Arial"/>
          <w:b/>
          <w:bCs/>
          <w:color w:val="0000FF"/>
          <w:sz w:val="28"/>
          <w:szCs w:val="28"/>
        </w:rPr>
      </w:pPr>
      <w:r>
        <w:rPr>
          <w:rFonts w:ascii="Arial" w:hAnsi="Arial" w:cs="Arial"/>
          <w:b/>
          <w:bCs/>
          <w:color w:val="0000FF"/>
          <w:sz w:val="28"/>
          <w:szCs w:val="28"/>
        </w:rPr>
        <w:t xml:space="preserve">(Issue #374 – </w:t>
      </w:r>
      <w:r w:rsidR="00D71B52">
        <w:rPr>
          <w:rFonts w:ascii="Arial" w:hAnsi="Arial" w:cs="Arial"/>
          <w:b/>
          <w:bCs/>
          <w:color w:val="0000FF"/>
          <w:sz w:val="28"/>
          <w:szCs w:val="28"/>
        </w:rPr>
        <w:t>2</w:t>
      </w:r>
      <w:bookmarkStart w:id="0" w:name="_GoBack"/>
      <w:bookmarkEnd w:id="0"/>
      <w:r>
        <w:rPr>
          <w:rFonts w:ascii="Arial" w:hAnsi="Arial" w:cs="Arial"/>
          <w:b/>
          <w:bCs/>
          <w:color w:val="0000FF"/>
          <w:sz w:val="28"/>
          <w:szCs w:val="28"/>
        </w:rPr>
        <w:t xml:space="preserve"> November 2018)                              </w:t>
      </w:r>
    </w:p>
    <w:p w:rsidR="00635C2D" w:rsidRDefault="00635C2D" w:rsidP="00635C2D">
      <w:pPr>
        <w:rPr>
          <w:color w:val="3333FF"/>
        </w:rPr>
      </w:pPr>
      <w:r>
        <w:rPr>
          <w:rFonts w:ascii="Arial" w:hAnsi="Arial" w:cs="Arial"/>
          <w:b/>
          <w:bCs/>
          <w:color w:val="3333FF"/>
          <w:sz w:val="26"/>
          <w:szCs w:val="26"/>
        </w:rPr>
        <w:t> </w:t>
      </w:r>
    </w:p>
    <w:p w:rsidR="00635C2D" w:rsidRDefault="00635C2D" w:rsidP="00635C2D">
      <w:pPr>
        <w:rPr>
          <w:rFonts w:ascii="Arial Narrow" w:hAnsi="Arial Narrow"/>
          <w:b/>
          <w:bCs/>
          <w:color w:val="0000FF"/>
          <w:sz w:val="28"/>
          <w:szCs w:val="28"/>
        </w:rPr>
      </w:pPr>
      <w:r>
        <w:rPr>
          <w:rFonts w:ascii="Arial Narrow" w:hAnsi="Arial Narrow"/>
          <w:b/>
          <w:bCs/>
          <w:color w:val="0000FF"/>
          <w:sz w:val="28"/>
          <w:szCs w:val="28"/>
        </w:rPr>
        <w:t>1. End of Waste Code out for Consultation</w:t>
      </w:r>
    </w:p>
    <w:p w:rsidR="00635C2D" w:rsidRDefault="00635C2D" w:rsidP="00635C2D">
      <w:pPr>
        <w:rPr>
          <w:rFonts w:ascii="Arial Narrow" w:hAnsi="Arial Narrow"/>
          <w:b/>
          <w:bCs/>
          <w:color w:val="0000FF"/>
          <w:sz w:val="28"/>
          <w:szCs w:val="28"/>
        </w:rPr>
      </w:pPr>
      <w:r>
        <w:rPr>
          <w:rFonts w:ascii="Arial Narrow" w:hAnsi="Arial Narrow"/>
          <w:b/>
          <w:bCs/>
          <w:color w:val="0000FF"/>
          <w:sz w:val="28"/>
          <w:szCs w:val="28"/>
        </w:rPr>
        <w:t>2. Livingstone Shire Council - Central Queensland Trade Waste Interest Group (CQTWIG)</w:t>
      </w:r>
    </w:p>
    <w:p w:rsidR="00635C2D" w:rsidRDefault="00635C2D" w:rsidP="00635C2D">
      <w:pPr>
        <w:rPr>
          <w:rFonts w:ascii="Arial Narrow" w:hAnsi="Arial Narrow"/>
          <w:b/>
          <w:bCs/>
          <w:color w:val="0000FF"/>
          <w:sz w:val="28"/>
          <w:szCs w:val="28"/>
        </w:rPr>
      </w:pPr>
      <w:r>
        <w:rPr>
          <w:rFonts w:ascii="Arial Narrow" w:hAnsi="Arial Narrow"/>
          <w:b/>
          <w:bCs/>
          <w:color w:val="0000FF"/>
          <w:sz w:val="28"/>
          <w:szCs w:val="28"/>
        </w:rPr>
        <w:t>3. Drinking Water Quality Forum: Common Challenges, Common Solutions – Department of Natural Resources, Mines and Energy</w:t>
      </w:r>
    </w:p>
    <w:p w:rsidR="00635C2D" w:rsidRDefault="00635C2D" w:rsidP="00635C2D">
      <w:pPr>
        <w:rPr>
          <w:rFonts w:ascii="Arial Narrow" w:hAnsi="Arial Narrow"/>
          <w:b/>
          <w:bCs/>
          <w:color w:val="0000FF"/>
          <w:sz w:val="28"/>
          <w:szCs w:val="28"/>
        </w:rPr>
      </w:pPr>
      <w:r>
        <w:rPr>
          <w:rFonts w:ascii="Arial Narrow" w:hAnsi="Arial Narrow"/>
          <w:b/>
          <w:bCs/>
          <w:color w:val="0000FF"/>
          <w:sz w:val="28"/>
          <w:szCs w:val="28"/>
        </w:rPr>
        <w:t>4. QUICK LINKS – ASSOCIATED ORGANISATIONS ANNOUNCEMENTS</w:t>
      </w:r>
    </w:p>
    <w:p w:rsidR="00635C2D" w:rsidRDefault="00635C2D" w:rsidP="00635C2D">
      <w:pPr>
        <w:rPr>
          <w:strike/>
          <w:color w:val="1F497D"/>
        </w:rPr>
      </w:pPr>
    </w:p>
    <w:p w:rsidR="00635C2D" w:rsidRDefault="00635C2D" w:rsidP="00635C2D">
      <w:r>
        <w:rPr>
          <w:rFonts w:ascii="Brush Script MT" w:hAnsi="Brush Script MT"/>
          <w:b/>
          <w:bCs/>
          <w:color w:val="800000"/>
        </w:rPr>
        <w:t>~~~~~~~~~~~~~~~~~~~~~~~~~~~~~~~~~~~~~~~~~~~~~~~~~~~~~~~~</w:t>
      </w:r>
    </w:p>
    <w:p w:rsidR="00635C2D" w:rsidRDefault="00635C2D" w:rsidP="00635C2D">
      <w:pPr>
        <w:rPr>
          <w:rFonts w:ascii="Arial Narrow" w:hAnsi="Arial Narrow"/>
          <w:b/>
          <w:bCs/>
          <w:color w:val="0000FF"/>
          <w:sz w:val="28"/>
          <w:szCs w:val="28"/>
        </w:rPr>
      </w:pPr>
      <w:r>
        <w:rPr>
          <w:rFonts w:ascii="Arial Narrow" w:hAnsi="Arial Narrow"/>
          <w:b/>
          <w:bCs/>
          <w:color w:val="0000FF"/>
          <w:sz w:val="28"/>
          <w:szCs w:val="28"/>
        </w:rPr>
        <w:t>1.   End of Waste Code out for Consultation</w:t>
      </w:r>
    </w:p>
    <w:p w:rsidR="00635C2D" w:rsidRDefault="00635C2D" w:rsidP="00635C2D">
      <w:r>
        <w:rPr>
          <w:rFonts w:ascii="Brush Script MT" w:hAnsi="Brush Script MT"/>
          <w:b/>
          <w:bCs/>
          <w:color w:val="800000"/>
        </w:rPr>
        <w:t>~~~~~~~~~~~~~~~~~~~~~~~~~~~~~~~~~~~~~~~~~~~~~~~~~~~~~~~~</w:t>
      </w:r>
    </w:p>
    <w:p w:rsidR="00635C2D" w:rsidRDefault="00635C2D" w:rsidP="00635C2D">
      <w:pPr>
        <w:rPr>
          <w:lang w:val="en-US"/>
        </w:rPr>
      </w:pPr>
    </w:p>
    <w:p w:rsidR="00635C2D" w:rsidRDefault="00635C2D" w:rsidP="00635C2D">
      <w:pPr>
        <w:rPr>
          <w:color w:val="000000"/>
          <w:lang w:val="en"/>
        </w:rPr>
      </w:pPr>
      <w:r>
        <w:t xml:space="preserve">The Department of Environment and Science released the draft End of Waste (EOW) Code for the use of </w:t>
      </w:r>
      <w:proofErr w:type="spellStart"/>
      <w:r>
        <w:t>biosolids</w:t>
      </w:r>
      <w:proofErr w:type="spellEnd"/>
      <w:r>
        <w:t xml:space="preserve"> on the 30</w:t>
      </w:r>
      <w:r>
        <w:rPr>
          <w:vertAlign w:val="superscript"/>
        </w:rPr>
        <w:t>th</w:t>
      </w:r>
      <w:r>
        <w:t xml:space="preserve"> October (see the </w:t>
      </w:r>
      <w:hyperlink r:id="rId5" w:history="1">
        <w:r>
          <w:rPr>
            <w:rStyle w:val="Hyperlink"/>
          </w:rPr>
          <w:t>department's website</w:t>
        </w:r>
      </w:hyperlink>
      <w:r>
        <w:t xml:space="preserve">). As noted in previous </w:t>
      </w:r>
      <w:proofErr w:type="spellStart"/>
      <w:r>
        <w:t>eFlashes</w:t>
      </w:r>
      <w:proofErr w:type="spellEnd"/>
      <w:r>
        <w:t xml:space="preserve"> this Code is part of the </w:t>
      </w:r>
      <w:r>
        <w:rPr>
          <w:color w:val="000000"/>
          <w:lang w:val="en"/>
        </w:rPr>
        <w:t xml:space="preserve">EOW framework under Chapter 8 and Chapter 8A of the </w:t>
      </w:r>
      <w:r>
        <w:rPr>
          <w:rStyle w:val="Emphasis"/>
          <w:color w:val="000000"/>
          <w:lang w:val="en"/>
        </w:rPr>
        <w:t>Waste Reduction and Recycling Act 2011</w:t>
      </w:r>
      <w:r>
        <w:rPr>
          <w:color w:val="000000"/>
          <w:lang w:val="en"/>
        </w:rPr>
        <w:t xml:space="preserve"> and replaced the beneficial use approval (BUA) framework on </w:t>
      </w:r>
      <w:r>
        <w:rPr>
          <w:rStyle w:val="Strong"/>
          <w:b w:val="0"/>
          <w:bCs w:val="0"/>
          <w:color w:val="000000"/>
          <w:lang w:val="en"/>
        </w:rPr>
        <w:t>8 November 2016</w:t>
      </w:r>
      <w:r>
        <w:rPr>
          <w:color w:val="000000"/>
          <w:lang w:val="en"/>
        </w:rPr>
        <w:t xml:space="preserve">. </w:t>
      </w:r>
    </w:p>
    <w:p w:rsidR="00635C2D" w:rsidRDefault="00635C2D" w:rsidP="00635C2D">
      <w:pPr>
        <w:rPr>
          <w:color w:val="000000"/>
          <w:lang w:val="en"/>
        </w:rPr>
      </w:pPr>
    </w:p>
    <w:p w:rsidR="00635C2D" w:rsidRDefault="00635C2D" w:rsidP="00635C2D">
      <w:pPr>
        <w:rPr>
          <w:color w:val="000000"/>
          <w:lang w:val="en"/>
        </w:rPr>
      </w:pPr>
      <w:r>
        <w:rPr>
          <w:color w:val="000000"/>
          <w:lang w:val="en"/>
        </w:rPr>
        <w:t>The aim of the framework is to reduce wastes but the way it was developed threatens send</w:t>
      </w:r>
      <w:proofErr w:type="gramStart"/>
      <w:r>
        <w:rPr>
          <w:color w:val="000000"/>
          <w:lang w:val="en"/>
        </w:rPr>
        <w:t>  more</w:t>
      </w:r>
      <w:proofErr w:type="gramEnd"/>
      <w:r>
        <w:rPr>
          <w:color w:val="000000"/>
          <w:lang w:val="en"/>
        </w:rPr>
        <w:t xml:space="preserve"> </w:t>
      </w:r>
      <w:proofErr w:type="spellStart"/>
      <w:r>
        <w:rPr>
          <w:color w:val="000000"/>
          <w:lang w:val="en"/>
        </w:rPr>
        <w:t>biosolids</w:t>
      </w:r>
      <w:proofErr w:type="spellEnd"/>
      <w:r>
        <w:rPr>
          <w:color w:val="000000"/>
          <w:lang w:val="en"/>
        </w:rPr>
        <w:t xml:space="preserve"> to landfill. The Code attempts to address these problems but there are still some significant issues to be solved.</w:t>
      </w:r>
    </w:p>
    <w:p w:rsidR="00635C2D" w:rsidRDefault="00635C2D" w:rsidP="00635C2D">
      <w:pPr>
        <w:rPr>
          <w:color w:val="000000"/>
          <w:lang w:val="en"/>
        </w:rPr>
      </w:pPr>
    </w:p>
    <w:p w:rsidR="00635C2D" w:rsidRDefault="00635C2D" w:rsidP="00635C2D">
      <w:pPr>
        <w:rPr>
          <w:color w:val="000000"/>
          <w:lang w:val="en"/>
        </w:rPr>
      </w:pPr>
      <w:r>
        <w:rPr>
          <w:color w:val="000000"/>
          <w:lang w:val="en"/>
        </w:rPr>
        <w:t xml:space="preserve">The consultation is open until </w:t>
      </w:r>
      <w:r>
        <w:rPr>
          <w:rStyle w:val="Strong"/>
          <w:color w:val="000000"/>
          <w:lang w:val="en"/>
        </w:rPr>
        <w:t>29 November 2018</w:t>
      </w:r>
      <w:r>
        <w:rPr>
          <w:color w:val="000000"/>
          <w:lang w:val="en"/>
        </w:rPr>
        <w:t xml:space="preserve"> and comments can be sent directly to </w:t>
      </w:r>
      <w:hyperlink r:id="rId6" w:history="1">
        <w:r>
          <w:rPr>
            <w:rStyle w:val="Hyperlink"/>
            <w:lang w:val="en"/>
          </w:rPr>
          <w:t>ISRS.Consultation@des.qld.gov.au</w:t>
        </w:r>
      </w:hyperlink>
      <w:r>
        <w:rPr>
          <w:color w:val="000000"/>
          <w:lang w:val="en"/>
        </w:rPr>
        <w:t xml:space="preserve">. We will be compiling a collated industry response and are in ongoing consultation with LGAQ. If you would like to contribute, please forward any comments to </w:t>
      </w:r>
      <w:hyperlink r:id="rId7" w:history="1">
        <w:r>
          <w:rPr>
            <w:rStyle w:val="Hyperlink"/>
            <w:lang w:val="en"/>
          </w:rPr>
          <w:t>rfearon@qldwater.com.au</w:t>
        </w:r>
      </w:hyperlink>
      <w:r>
        <w:rPr>
          <w:color w:val="000000"/>
          <w:lang w:val="en"/>
        </w:rPr>
        <w:t xml:space="preserve"> by Tuesday 27</w:t>
      </w:r>
      <w:r>
        <w:rPr>
          <w:color w:val="000000"/>
          <w:vertAlign w:val="superscript"/>
          <w:lang w:val="en"/>
        </w:rPr>
        <w:t>th</w:t>
      </w:r>
      <w:r>
        <w:rPr>
          <w:color w:val="000000"/>
          <w:lang w:val="en"/>
        </w:rPr>
        <w:t xml:space="preserve"> November.</w:t>
      </w:r>
    </w:p>
    <w:p w:rsidR="00635C2D" w:rsidRDefault="00635C2D" w:rsidP="00635C2D"/>
    <w:p w:rsidR="00635C2D" w:rsidRDefault="00635C2D" w:rsidP="00635C2D">
      <w:r>
        <w:rPr>
          <w:rFonts w:ascii="Brush Script MT" w:hAnsi="Brush Script MT"/>
          <w:b/>
          <w:bCs/>
          <w:color w:val="800000"/>
        </w:rPr>
        <w:t>~~~~~~~~~~~~~~~~~~~~~~~~~~~~~~~~~~~~~~~~~~~~~~~~~~~~~~~~</w:t>
      </w:r>
    </w:p>
    <w:p w:rsidR="00635C2D" w:rsidRDefault="00635C2D" w:rsidP="00635C2D">
      <w:pPr>
        <w:rPr>
          <w:rFonts w:ascii="Arial Narrow" w:hAnsi="Arial Narrow"/>
          <w:b/>
          <w:bCs/>
          <w:color w:val="0000FF"/>
          <w:sz w:val="28"/>
          <w:szCs w:val="28"/>
        </w:rPr>
      </w:pPr>
      <w:r>
        <w:rPr>
          <w:rFonts w:ascii="Arial Narrow" w:hAnsi="Arial Narrow"/>
          <w:b/>
          <w:bCs/>
          <w:color w:val="0000FF"/>
          <w:sz w:val="28"/>
          <w:szCs w:val="28"/>
        </w:rPr>
        <w:t>2.   Livingstone Shire Council - Central Queensland Trade Waste Interest Group (CQTWIG)</w:t>
      </w:r>
    </w:p>
    <w:p w:rsidR="00635C2D" w:rsidRDefault="00635C2D" w:rsidP="00635C2D">
      <w:r>
        <w:rPr>
          <w:rFonts w:ascii="Brush Script MT" w:hAnsi="Brush Script MT"/>
          <w:b/>
          <w:bCs/>
          <w:color w:val="800000"/>
        </w:rPr>
        <w:t>~~~~~~~~~~~~~~~~~~~~~~~~~~~~~~~~~~~~~~~~~~~~~~~~~~~~~~~~</w:t>
      </w:r>
    </w:p>
    <w:p w:rsidR="00635C2D" w:rsidRDefault="00635C2D" w:rsidP="00635C2D">
      <w:pPr>
        <w:rPr>
          <w:lang w:val="en-US"/>
        </w:rPr>
      </w:pPr>
    </w:p>
    <w:p w:rsidR="00635C2D" w:rsidRDefault="00635C2D" w:rsidP="00635C2D">
      <w:r>
        <w:t>Livingstone Shire Council</w:t>
      </w:r>
      <w:proofErr w:type="gramStart"/>
      <w:r>
        <w:t>  will</w:t>
      </w:r>
      <w:proofErr w:type="gramEnd"/>
      <w:r>
        <w:t xml:space="preserve"> host the second meeting of the Central Queensland Trade Waste Interest Group (CQTWIG) on </w:t>
      </w:r>
      <w:r>
        <w:rPr>
          <w:b/>
          <w:bCs/>
        </w:rPr>
        <w:t>Friday 16 November 2018</w:t>
      </w:r>
      <w:r>
        <w:t xml:space="preserve"> commencing  at 0830 </w:t>
      </w:r>
      <w:proofErr w:type="spellStart"/>
      <w:r>
        <w:t>a.m</w:t>
      </w:r>
      <w:proofErr w:type="spellEnd"/>
      <w:r>
        <w:t xml:space="preserve"> and finishing at 3.00pm.</w:t>
      </w:r>
    </w:p>
    <w:p w:rsidR="00635C2D" w:rsidRDefault="00635C2D" w:rsidP="00635C2D">
      <w:r>
        <w:t>The purpose of the CQTWIG is to discuss Trade Waste (Source Control) matters &amp; related experiences plus networking opportunities, with the attendees including Trade Waste Officers, Plumbing Inspectors and other interested parties.</w:t>
      </w:r>
    </w:p>
    <w:p w:rsidR="00635C2D" w:rsidRDefault="00635C2D" w:rsidP="00635C2D"/>
    <w:p w:rsidR="00635C2D" w:rsidRDefault="00635C2D" w:rsidP="00635C2D">
      <w:r>
        <w:rPr>
          <w:u w:val="single"/>
        </w:rPr>
        <w:lastRenderedPageBreak/>
        <w:t>Venue:</w:t>
      </w:r>
      <w:r>
        <w:t xml:space="preserve"> the new Centre of Excellence for Disaster Management, Innovation and Community Resilience (The Hub)</w:t>
      </w:r>
      <w:r>
        <w:rPr>
          <w:color w:val="1F497D"/>
        </w:rPr>
        <w:t xml:space="preserve"> </w:t>
      </w:r>
      <w:r>
        <w:rPr>
          <w:b/>
          <w:bCs/>
        </w:rPr>
        <w:t>Level 2</w:t>
      </w:r>
      <w:r>
        <w:t>, 7-9 James Street, Yeppoon</w:t>
      </w:r>
    </w:p>
    <w:p w:rsidR="00635C2D" w:rsidRDefault="00635C2D" w:rsidP="00635C2D">
      <w:r>
        <w:rPr>
          <w:u w:val="single"/>
        </w:rPr>
        <w:t>Keynote Speakers:</w:t>
      </w:r>
      <w:r>
        <w:t xml:space="preserve"> Bevan Edwards - Coordinator Trade Waste Services @ Toowoomba Regional Council</w:t>
      </w:r>
    </w:p>
    <w:p w:rsidR="00635C2D" w:rsidRDefault="00635C2D" w:rsidP="00635C2D">
      <w:r>
        <w:rPr>
          <w:u w:val="single"/>
        </w:rPr>
        <w:t>Dinner (optional attendance - own cost</w:t>
      </w:r>
      <w:proofErr w:type="gramStart"/>
      <w:r>
        <w:rPr>
          <w:u w:val="single"/>
        </w:rPr>
        <w:t>)</w:t>
      </w:r>
      <w:r>
        <w:t xml:space="preserve"> :</w:t>
      </w:r>
      <w:proofErr w:type="gramEnd"/>
      <w:r>
        <w:t xml:space="preserve"> Thursday 15 November 2018 at The Strand Hotel, Yeppoon</w:t>
      </w:r>
    </w:p>
    <w:p w:rsidR="00635C2D" w:rsidRDefault="00635C2D" w:rsidP="00635C2D"/>
    <w:p w:rsidR="00635C2D" w:rsidRDefault="00635C2D" w:rsidP="00635C2D">
      <w:r>
        <w:t xml:space="preserve">Please forward your expressions of interest in attending and any suggestions for agenda items by COB </w:t>
      </w:r>
      <w:r>
        <w:rPr>
          <w:b/>
          <w:bCs/>
        </w:rPr>
        <w:t>Friday 9th November 2018</w:t>
      </w:r>
      <w:r>
        <w:t xml:space="preserve"> to Michael Dalton at Livingstone Shire Council via email:  </w:t>
      </w:r>
      <w:hyperlink r:id="rId8" w:history="1">
        <w:r>
          <w:rPr>
            <w:rStyle w:val="Hyperlink"/>
          </w:rPr>
          <w:t>michael.dalton@livingstone.qld.gov.au</w:t>
        </w:r>
      </w:hyperlink>
      <w:r>
        <w:t xml:space="preserve"> or  telephone 07 49 135 000.</w:t>
      </w:r>
    </w:p>
    <w:p w:rsidR="00635C2D" w:rsidRDefault="00635C2D" w:rsidP="00635C2D">
      <w:pPr>
        <w:rPr>
          <w:color w:val="1F497D"/>
        </w:rPr>
      </w:pPr>
    </w:p>
    <w:p w:rsidR="00635C2D" w:rsidRDefault="00635C2D" w:rsidP="00635C2D">
      <w:r>
        <w:rPr>
          <w:rFonts w:ascii="Brush Script MT" w:hAnsi="Brush Script MT"/>
          <w:b/>
          <w:bCs/>
          <w:color w:val="800000"/>
        </w:rPr>
        <w:t>~~~~~~~~~~~~~~~~~~~~~~~~~~~~~~~~~~~~~~~~~~~~~~~~~~~~~~~~</w:t>
      </w:r>
    </w:p>
    <w:p w:rsidR="00635C2D" w:rsidRDefault="00635C2D" w:rsidP="00635C2D">
      <w:pPr>
        <w:rPr>
          <w:rFonts w:ascii="Arial Narrow" w:hAnsi="Arial Narrow"/>
          <w:b/>
          <w:bCs/>
          <w:color w:val="0000FF"/>
          <w:sz w:val="28"/>
          <w:szCs w:val="28"/>
        </w:rPr>
      </w:pPr>
      <w:r>
        <w:rPr>
          <w:rFonts w:ascii="Arial Narrow" w:hAnsi="Arial Narrow"/>
          <w:b/>
          <w:bCs/>
          <w:color w:val="0000FF"/>
          <w:sz w:val="28"/>
          <w:szCs w:val="28"/>
        </w:rPr>
        <w:t>3.   Department of Natural Resources, Mines and Energy</w:t>
      </w:r>
    </w:p>
    <w:p w:rsidR="00635C2D" w:rsidRDefault="00635C2D" w:rsidP="00635C2D">
      <w:r>
        <w:rPr>
          <w:rFonts w:ascii="Brush Script MT" w:hAnsi="Brush Script MT"/>
          <w:b/>
          <w:bCs/>
          <w:color w:val="800000"/>
        </w:rPr>
        <w:t>~~~~~~~~~~~~~~~~~~~~~~~~~~~~~~~~~~~~~~~~~~~~~~~~~~~~~~~~</w:t>
      </w:r>
    </w:p>
    <w:p w:rsidR="00635C2D" w:rsidRDefault="00635C2D" w:rsidP="00635C2D">
      <w:pPr>
        <w:rPr>
          <w:lang w:val="en-US"/>
        </w:rPr>
      </w:pPr>
    </w:p>
    <w:p w:rsidR="00635C2D" w:rsidRDefault="00635C2D" w:rsidP="00635C2D">
      <w:pPr>
        <w:rPr>
          <w:b/>
          <w:bCs/>
          <w:sz w:val="24"/>
          <w:szCs w:val="24"/>
        </w:rPr>
      </w:pPr>
      <w:r>
        <w:rPr>
          <w:b/>
          <w:bCs/>
          <w:sz w:val="24"/>
          <w:szCs w:val="24"/>
        </w:rPr>
        <w:t>Drinking Water Quality Forum: Common Challenges, Common Solutions</w:t>
      </w:r>
    </w:p>
    <w:p w:rsidR="00635C2D" w:rsidRDefault="00635C2D" w:rsidP="00635C2D"/>
    <w:p w:rsidR="00635C2D" w:rsidRDefault="00635C2D" w:rsidP="00635C2D">
      <w:r>
        <w:t>Registrations close for Drinking Water Quality Forum on 7/11/2018</w:t>
      </w:r>
    </w:p>
    <w:p w:rsidR="00635C2D" w:rsidRDefault="00635C2D" w:rsidP="00635C2D"/>
    <w:p w:rsidR="00635C2D" w:rsidRDefault="00635C2D" w:rsidP="00635C2D">
      <w:pPr>
        <w:spacing w:after="120"/>
        <w:jc w:val="both"/>
      </w:pPr>
      <w:r>
        <w:t xml:space="preserve">Dr Peter </w:t>
      </w:r>
      <w:proofErr w:type="spellStart"/>
      <w:r>
        <w:t>Mosse</w:t>
      </w:r>
      <w:proofErr w:type="spellEnd"/>
      <w:r>
        <w:t>, keynote speaker, will be talking about his experience and insights into the common challenges faced by service providers in providing safe drinking water. Peter will go on to deliver a presentation focussing on the common issues he observed whilst undertaking water supply assessments in Queensland. Throughout the day the forum will shift from the topic of challenges to that of solutions with a number of speakers talking about their approach and/or solutions to the issues at hand.</w:t>
      </w:r>
    </w:p>
    <w:p w:rsidR="00635C2D" w:rsidRDefault="00635C2D" w:rsidP="00635C2D">
      <w:pPr>
        <w:spacing w:after="120"/>
        <w:jc w:val="both"/>
      </w:pPr>
      <w:proofErr w:type="spellStart"/>
      <w:proofErr w:type="gramStart"/>
      <w:r>
        <w:rPr>
          <w:b/>
          <w:bCs/>
          <w:i/>
          <w:iCs/>
        </w:rPr>
        <w:t>qldwater</w:t>
      </w:r>
      <w:proofErr w:type="spellEnd"/>
      <w:proofErr w:type="gramEnd"/>
      <w:r>
        <w:rPr>
          <w:b/>
          <w:bCs/>
          <w:i/>
          <w:iCs/>
        </w:rPr>
        <w:t xml:space="preserve"> </w:t>
      </w:r>
      <w:r>
        <w:t>staff will be in attendance and we have provided some support to the department towards the venue.</w:t>
      </w:r>
    </w:p>
    <w:p w:rsidR="00635C2D" w:rsidRDefault="00635C2D" w:rsidP="00635C2D">
      <w:pPr>
        <w:rPr>
          <w:lang w:val="en-US"/>
        </w:rPr>
      </w:pPr>
      <w:r>
        <w:t>For more details please contact</w:t>
      </w:r>
      <w:r>
        <w:rPr>
          <w:color w:val="1F497D"/>
        </w:rPr>
        <w:t xml:space="preserve"> </w:t>
      </w:r>
      <w:hyperlink r:id="rId9" w:history="1">
        <w:r>
          <w:rPr>
            <w:rStyle w:val="Hyperlink"/>
          </w:rPr>
          <w:t>drinkingwater.reporting@dnrme.qld.gov.au</w:t>
        </w:r>
      </w:hyperlink>
    </w:p>
    <w:p w:rsidR="00635C2D" w:rsidRDefault="00635C2D" w:rsidP="00635C2D">
      <w:pPr>
        <w:rPr>
          <w:color w:val="1F497D"/>
        </w:rPr>
      </w:pPr>
    </w:p>
    <w:p w:rsidR="00635C2D" w:rsidRDefault="00635C2D" w:rsidP="00635C2D">
      <w:r>
        <w:rPr>
          <w:rFonts w:ascii="Brush Script MT" w:hAnsi="Brush Script MT"/>
          <w:b/>
          <w:bCs/>
          <w:color w:val="800000"/>
        </w:rPr>
        <w:t>~~~~~~~~~~~~~~~~~~~~~~~~~~~~~~~~~~~~~~~~~~~~~~~~~~~~~~~~</w:t>
      </w:r>
    </w:p>
    <w:p w:rsidR="00635C2D" w:rsidRDefault="00635C2D" w:rsidP="00635C2D">
      <w:pPr>
        <w:rPr>
          <w:color w:val="0000FF"/>
        </w:rPr>
      </w:pPr>
      <w:r>
        <w:rPr>
          <w:rFonts w:ascii="Arial Narrow" w:hAnsi="Arial Narrow"/>
          <w:b/>
          <w:bCs/>
          <w:color w:val="0000FF"/>
          <w:sz w:val="28"/>
          <w:szCs w:val="28"/>
        </w:rPr>
        <w:t xml:space="preserve">4.   QUICK LINKS – ASSOCIATED ORGANISATIONS ANNOUNCEMENTS </w:t>
      </w:r>
    </w:p>
    <w:p w:rsidR="00635C2D" w:rsidRDefault="00635C2D" w:rsidP="00635C2D">
      <w:pPr>
        <w:rPr>
          <w:rFonts w:ascii="Brush Script MT" w:hAnsi="Brush Script MT"/>
          <w:b/>
          <w:bCs/>
        </w:rPr>
      </w:pPr>
      <w:r>
        <w:rPr>
          <w:rFonts w:ascii="Brush Script MT" w:hAnsi="Brush Script MT"/>
          <w:b/>
          <w:bCs/>
          <w:color w:val="800000"/>
        </w:rPr>
        <w:t>~~~~~~~~~~~~~~~~~~~~~~~~~~~~~~~~~~~~~~~~~~~~~~~~~~~~~~~~</w:t>
      </w:r>
    </w:p>
    <w:p w:rsidR="00635C2D" w:rsidRDefault="00635C2D" w:rsidP="00635C2D"/>
    <w:p w:rsidR="00635C2D" w:rsidRDefault="00635C2D" w:rsidP="00635C2D">
      <w:pPr>
        <w:rPr>
          <w:b/>
          <w:bCs/>
          <w:sz w:val="24"/>
          <w:szCs w:val="24"/>
        </w:rPr>
      </w:pPr>
      <w:r>
        <w:rPr>
          <w:b/>
          <w:bCs/>
          <w:sz w:val="24"/>
          <w:szCs w:val="24"/>
        </w:rPr>
        <w:t xml:space="preserve">1.  Queensland Government Grant Review </w:t>
      </w:r>
    </w:p>
    <w:p w:rsidR="00635C2D" w:rsidRDefault="00635C2D" w:rsidP="00635C2D">
      <w:pPr>
        <w:pStyle w:val="NormalWeb"/>
        <w:shd w:val="clear" w:color="auto" w:fill="FFFFFF"/>
        <w:spacing w:before="240" w:beforeAutospacing="0" w:after="240" w:afterAutospacing="0"/>
        <w:rPr>
          <w:rFonts w:ascii="Calibri" w:hAnsi="Calibri"/>
          <w:sz w:val="22"/>
          <w:szCs w:val="22"/>
        </w:rPr>
      </w:pPr>
      <w:r>
        <w:rPr>
          <w:rFonts w:ascii="Calibri" w:hAnsi="Calibri"/>
          <w:sz w:val="22"/>
          <w:szCs w:val="22"/>
        </w:rPr>
        <w:t>In early 2016 LGAQ made a submission to the government on the reform of State-Local government grant programs.</w:t>
      </w:r>
      <w:r>
        <w:rPr>
          <w:rFonts w:ascii="Calibri" w:hAnsi="Calibri"/>
          <w:sz w:val="22"/>
          <w:szCs w:val="22"/>
        </w:rPr>
        <w:br/>
        <w:t>In response to the SIP action and LGAQ submission the government completed a review of local government grant programs. This review confirmed the fragmented nature of grants programs providing options and opportunities for improvement.</w:t>
      </w:r>
    </w:p>
    <w:p w:rsidR="00635C2D" w:rsidRDefault="00635C2D" w:rsidP="00635C2D">
      <w:pPr>
        <w:shd w:val="clear" w:color="auto" w:fill="FFFFFF"/>
        <w:spacing w:before="240" w:after="240"/>
      </w:pPr>
      <w:r>
        <w:t>As part of the 2018-19 State Budget the Government has committed $3.2 million over four years to improve and simplify the administration of grants to local government.</w:t>
      </w:r>
    </w:p>
    <w:p w:rsidR="00635C2D" w:rsidRDefault="00635C2D" w:rsidP="00635C2D">
      <w:pPr>
        <w:pStyle w:val="Heading2"/>
        <w:shd w:val="clear" w:color="auto" w:fill="FFFFFF"/>
        <w:spacing w:before="199" w:after="199"/>
        <w:rPr>
          <w:rFonts w:ascii="Calibri" w:eastAsia="Times New Roman" w:hAnsi="Calibri"/>
          <w:b/>
          <w:bCs/>
          <w:color w:val="auto"/>
          <w:sz w:val="22"/>
          <w:szCs w:val="22"/>
          <w:u w:val="single"/>
          <w:lang w:val="en-US"/>
        </w:rPr>
      </w:pPr>
      <w:r>
        <w:rPr>
          <w:rFonts w:ascii="Calibri" w:eastAsia="Times New Roman" w:hAnsi="Calibri"/>
          <w:b/>
          <w:bCs/>
          <w:color w:val="auto"/>
          <w:sz w:val="22"/>
          <w:szCs w:val="22"/>
          <w:u w:val="single"/>
          <w:lang w:val="en-US"/>
        </w:rPr>
        <w:t>Key outcomes of the review</w:t>
      </w:r>
    </w:p>
    <w:p w:rsidR="00635C2D" w:rsidRDefault="00635C2D" w:rsidP="00635C2D">
      <w:pPr>
        <w:pStyle w:val="NormalWeb"/>
        <w:shd w:val="clear" w:color="auto" w:fill="FFFFFF"/>
        <w:spacing w:before="240" w:beforeAutospacing="0" w:after="240" w:afterAutospacing="0"/>
        <w:rPr>
          <w:rFonts w:ascii="Calibri" w:hAnsi="Calibri"/>
          <w:sz w:val="22"/>
          <w:szCs w:val="22"/>
        </w:rPr>
      </w:pPr>
      <w:r>
        <w:rPr>
          <w:rFonts w:ascii="Calibri" w:hAnsi="Calibri"/>
          <w:sz w:val="22"/>
          <w:szCs w:val="22"/>
        </w:rPr>
        <w:t>The key outcomes are:</w:t>
      </w:r>
    </w:p>
    <w:p w:rsidR="00635C2D" w:rsidRDefault="00635C2D" w:rsidP="00635C2D">
      <w:pPr>
        <w:numPr>
          <w:ilvl w:val="0"/>
          <w:numId w:val="1"/>
        </w:numPr>
        <w:shd w:val="clear" w:color="auto" w:fill="FFFFFF"/>
        <w:tabs>
          <w:tab w:val="left" w:pos="426"/>
        </w:tabs>
        <w:ind w:left="426"/>
      </w:pPr>
      <w:r>
        <w:rPr>
          <w:b/>
          <w:bCs/>
        </w:rPr>
        <w:t>Implement</w:t>
      </w:r>
      <w:r>
        <w:t> an outcome focused grants model where grant programs with common objectives are managed consistently</w:t>
      </w:r>
    </w:p>
    <w:p w:rsidR="00635C2D" w:rsidRDefault="00635C2D" w:rsidP="00635C2D">
      <w:pPr>
        <w:numPr>
          <w:ilvl w:val="0"/>
          <w:numId w:val="1"/>
        </w:numPr>
        <w:shd w:val="clear" w:color="auto" w:fill="FFFFFF"/>
        <w:tabs>
          <w:tab w:val="left" w:pos="426"/>
        </w:tabs>
        <w:ind w:left="426"/>
      </w:pPr>
      <w:r>
        <w:rPr>
          <w:b/>
          <w:bCs/>
        </w:rPr>
        <w:t>Align</w:t>
      </w:r>
      <w:r>
        <w:t> grant programs with State Government priorities and, Council strategies and budget cycles</w:t>
      </w:r>
    </w:p>
    <w:p w:rsidR="00635C2D" w:rsidRDefault="00635C2D" w:rsidP="00635C2D">
      <w:pPr>
        <w:numPr>
          <w:ilvl w:val="0"/>
          <w:numId w:val="1"/>
        </w:numPr>
        <w:shd w:val="clear" w:color="auto" w:fill="FFFFFF"/>
        <w:tabs>
          <w:tab w:val="left" w:pos="426"/>
        </w:tabs>
        <w:ind w:left="426"/>
      </w:pPr>
      <w:r>
        <w:rPr>
          <w:b/>
          <w:bCs/>
        </w:rPr>
        <w:lastRenderedPageBreak/>
        <w:t>Reduce</w:t>
      </w:r>
      <w:r>
        <w:t> red tape through streamlining the administration, monitoring and reporting of grant programs</w:t>
      </w:r>
    </w:p>
    <w:p w:rsidR="00635C2D" w:rsidRDefault="00635C2D" w:rsidP="00635C2D">
      <w:pPr>
        <w:numPr>
          <w:ilvl w:val="0"/>
          <w:numId w:val="1"/>
        </w:numPr>
        <w:shd w:val="clear" w:color="auto" w:fill="FFFFFF"/>
        <w:tabs>
          <w:tab w:val="left" w:pos="426"/>
        </w:tabs>
        <w:ind w:left="426"/>
      </w:pPr>
      <w:r>
        <w:rPr>
          <w:b/>
          <w:bCs/>
        </w:rPr>
        <w:t>Support</w:t>
      </w:r>
      <w:r>
        <w:t> Councils across all stages of the grant program process, including necessary long-term planning.</w:t>
      </w:r>
    </w:p>
    <w:p w:rsidR="00635C2D" w:rsidRDefault="00635C2D" w:rsidP="00635C2D">
      <w:pPr>
        <w:pStyle w:val="Heading2"/>
        <w:shd w:val="clear" w:color="auto" w:fill="FFFFFF"/>
        <w:spacing w:before="199" w:after="199"/>
        <w:rPr>
          <w:rFonts w:ascii="Calibri" w:eastAsia="Times New Roman" w:hAnsi="Calibri"/>
          <w:b/>
          <w:bCs/>
          <w:color w:val="auto"/>
          <w:sz w:val="22"/>
          <w:szCs w:val="22"/>
          <w:lang w:val="en-US"/>
        </w:rPr>
      </w:pPr>
      <w:r>
        <w:rPr>
          <w:rFonts w:ascii="Calibri" w:eastAsia="Times New Roman" w:hAnsi="Calibri"/>
          <w:b/>
          <w:bCs/>
          <w:color w:val="auto"/>
          <w:sz w:val="22"/>
          <w:szCs w:val="22"/>
          <w:lang w:val="en-US"/>
        </w:rPr>
        <w:t>Grants to Local Government Policy Position</w:t>
      </w:r>
    </w:p>
    <w:p w:rsidR="00635C2D" w:rsidRDefault="00635C2D" w:rsidP="00635C2D">
      <w:pPr>
        <w:pStyle w:val="NormalWeb"/>
        <w:shd w:val="clear" w:color="auto" w:fill="FFFFFF"/>
        <w:spacing w:before="240" w:beforeAutospacing="0" w:after="240" w:afterAutospacing="0"/>
        <w:rPr>
          <w:rFonts w:ascii="Calibri" w:hAnsi="Calibri"/>
          <w:color w:val="000000"/>
          <w:sz w:val="22"/>
          <w:szCs w:val="22"/>
        </w:rPr>
      </w:pPr>
      <w:r>
        <w:rPr>
          <w:rFonts w:ascii="Calibri" w:hAnsi="Calibri"/>
          <w:color w:val="000000"/>
          <w:sz w:val="22"/>
          <w:szCs w:val="22"/>
        </w:rPr>
        <w:t>The key outcomes of the review have informed the next stage of grants reform, the </w:t>
      </w:r>
      <w:hyperlink r:id="rId10" w:history="1">
        <w:r>
          <w:rPr>
            <w:rStyle w:val="Hyperlink"/>
            <w:rFonts w:ascii="Calibri" w:hAnsi="Calibri"/>
            <w:color w:val="0066CC"/>
            <w:sz w:val="22"/>
            <w:szCs w:val="22"/>
          </w:rPr>
          <w:t>Grants to Local Government Policy Position</w:t>
        </w:r>
      </w:hyperlink>
      <w:r>
        <w:rPr>
          <w:rFonts w:ascii="Calibri" w:hAnsi="Calibri"/>
          <w:color w:val="000000"/>
          <w:sz w:val="22"/>
          <w:szCs w:val="22"/>
        </w:rPr>
        <w:t> (PDF, 252KB).</w:t>
      </w:r>
    </w:p>
    <w:p w:rsidR="00635C2D" w:rsidRDefault="00635C2D" w:rsidP="00635C2D">
      <w:pPr>
        <w:pStyle w:val="NormalWeb"/>
        <w:shd w:val="clear" w:color="auto" w:fill="FFFFFF"/>
        <w:spacing w:before="240" w:beforeAutospacing="0" w:after="240" w:afterAutospacing="0"/>
        <w:rPr>
          <w:rFonts w:ascii="Calibri" w:hAnsi="Calibri"/>
          <w:color w:val="000000"/>
          <w:sz w:val="22"/>
          <w:szCs w:val="22"/>
        </w:rPr>
      </w:pPr>
      <w:r>
        <w:rPr>
          <w:rFonts w:ascii="Calibri" w:hAnsi="Calibri"/>
          <w:color w:val="000000"/>
          <w:sz w:val="22"/>
          <w:szCs w:val="22"/>
        </w:rPr>
        <w:t>Supporting the policy position, </w:t>
      </w:r>
      <w:hyperlink r:id="rId11" w:history="1">
        <w:r>
          <w:rPr>
            <w:rStyle w:val="Hyperlink"/>
            <w:rFonts w:ascii="Calibri" w:hAnsi="Calibri"/>
            <w:color w:val="0066CC"/>
            <w:sz w:val="22"/>
            <w:szCs w:val="22"/>
          </w:rPr>
          <w:t>proposed program streams</w:t>
        </w:r>
      </w:hyperlink>
      <w:r>
        <w:rPr>
          <w:rFonts w:ascii="Calibri" w:hAnsi="Calibri"/>
          <w:color w:val="000000"/>
          <w:sz w:val="22"/>
          <w:szCs w:val="22"/>
        </w:rPr>
        <w:t> (PDF, 286KB) have been developed showing how funding programs can be coordinated and simplified.</w:t>
      </w:r>
    </w:p>
    <w:p w:rsidR="00635C2D" w:rsidRDefault="00635C2D" w:rsidP="00635C2D">
      <w:pPr>
        <w:rPr>
          <w:color w:val="1F497D"/>
        </w:rPr>
      </w:pPr>
    </w:p>
    <w:p w:rsidR="00635C2D" w:rsidRDefault="00635C2D" w:rsidP="00635C2D">
      <w:r>
        <w:rPr>
          <w:b/>
          <w:bCs/>
          <w:sz w:val="24"/>
          <w:szCs w:val="24"/>
        </w:rPr>
        <w:t>2. The Queensland Police Service</w:t>
      </w:r>
      <w:r>
        <w:t xml:space="preserve"> has released the latest Security Forecast which is now available in the members area of our website -</w:t>
      </w:r>
      <w:proofErr w:type="gramStart"/>
      <w:r>
        <w:t xml:space="preserve">  </w:t>
      </w:r>
      <w:proofErr w:type="gramEnd"/>
      <w:hyperlink r:id="rId12" w:history="1">
        <w:r>
          <w:rPr>
            <w:rStyle w:val="Hyperlink"/>
          </w:rPr>
          <w:t>http://www.qldwater.com.au/Counter-terrorism</w:t>
        </w:r>
      </w:hyperlink>
      <w:r>
        <w:t xml:space="preserve">.   </w:t>
      </w:r>
      <w:r>
        <w:rPr>
          <w:color w:val="333333"/>
          <w:shd w:val="clear" w:color="auto" w:fill="FFFFFF"/>
        </w:rPr>
        <w:t>T</w:t>
      </w:r>
      <w:r>
        <w:t>he information contained in the QPS documents may be viewed and circulated internally, however it should not be provided to the public / media or forwarded to external third parties.  Members must log in first to access this information.</w:t>
      </w:r>
    </w:p>
    <w:p w:rsidR="00E92E6D" w:rsidRDefault="00E92E6D"/>
    <w:sectPr w:rsidR="00E92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E4E23"/>
    <w:multiLevelType w:val="multilevel"/>
    <w:tmpl w:val="C9F8E9F6"/>
    <w:lvl w:ilvl="0">
      <w:start w:val="1"/>
      <w:numFmt w:val="bullet"/>
      <w:lvlText w:val=""/>
      <w:lvlJc w:val="left"/>
      <w:pPr>
        <w:tabs>
          <w:tab w:val="num" w:pos="4680"/>
        </w:tabs>
        <w:ind w:left="4680" w:hanging="360"/>
      </w:pPr>
      <w:rPr>
        <w:rFonts w:ascii="Symbol" w:hAnsi="Symbol" w:hint="default"/>
        <w:sz w:val="20"/>
      </w:rPr>
    </w:lvl>
    <w:lvl w:ilvl="1">
      <w:start w:val="1"/>
      <w:numFmt w:val="bullet"/>
      <w:lvlText w:val=""/>
      <w:lvlJc w:val="left"/>
      <w:pPr>
        <w:tabs>
          <w:tab w:val="num" w:pos="5400"/>
        </w:tabs>
        <w:ind w:left="5400" w:hanging="360"/>
      </w:pPr>
      <w:rPr>
        <w:rFonts w:ascii="Symbol" w:hAnsi="Symbol" w:hint="default"/>
        <w:sz w:val="20"/>
      </w:rPr>
    </w:lvl>
    <w:lvl w:ilvl="2">
      <w:start w:val="1"/>
      <w:numFmt w:val="bullet"/>
      <w:lvlText w:val=""/>
      <w:lvlJc w:val="left"/>
      <w:pPr>
        <w:tabs>
          <w:tab w:val="num" w:pos="6120"/>
        </w:tabs>
        <w:ind w:left="6120" w:hanging="360"/>
      </w:pPr>
      <w:rPr>
        <w:rFonts w:ascii="Symbol" w:hAnsi="Symbol" w:hint="default"/>
        <w:sz w:val="20"/>
      </w:rPr>
    </w:lvl>
    <w:lvl w:ilvl="3">
      <w:start w:val="1"/>
      <w:numFmt w:val="bullet"/>
      <w:lvlText w:val=""/>
      <w:lvlJc w:val="left"/>
      <w:pPr>
        <w:tabs>
          <w:tab w:val="num" w:pos="6840"/>
        </w:tabs>
        <w:ind w:left="6840" w:hanging="360"/>
      </w:pPr>
      <w:rPr>
        <w:rFonts w:ascii="Symbol" w:hAnsi="Symbol" w:hint="default"/>
        <w:sz w:val="20"/>
      </w:rPr>
    </w:lvl>
    <w:lvl w:ilvl="4">
      <w:start w:val="1"/>
      <w:numFmt w:val="bullet"/>
      <w:lvlText w:val=""/>
      <w:lvlJc w:val="left"/>
      <w:pPr>
        <w:tabs>
          <w:tab w:val="num" w:pos="7560"/>
        </w:tabs>
        <w:ind w:left="7560" w:hanging="360"/>
      </w:pPr>
      <w:rPr>
        <w:rFonts w:ascii="Symbol" w:hAnsi="Symbol" w:hint="default"/>
        <w:sz w:val="20"/>
      </w:rPr>
    </w:lvl>
    <w:lvl w:ilvl="5">
      <w:start w:val="1"/>
      <w:numFmt w:val="bullet"/>
      <w:lvlText w:val=""/>
      <w:lvlJc w:val="left"/>
      <w:pPr>
        <w:tabs>
          <w:tab w:val="num" w:pos="8280"/>
        </w:tabs>
        <w:ind w:left="8280" w:hanging="360"/>
      </w:pPr>
      <w:rPr>
        <w:rFonts w:ascii="Symbol" w:hAnsi="Symbol" w:hint="default"/>
        <w:sz w:val="20"/>
      </w:rPr>
    </w:lvl>
    <w:lvl w:ilvl="6">
      <w:start w:val="1"/>
      <w:numFmt w:val="bullet"/>
      <w:lvlText w:val=""/>
      <w:lvlJc w:val="left"/>
      <w:pPr>
        <w:tabs>
          <w:tab w:val="num" w:pos="9000"/>
        </w:tabs>
        <w:ind w:left="9000" w:hanging="360"/>
      </w:pPr>
      <w:rPr>
        <w:rFonts w:ascii="Symbol" w:hAnsi="Symbol" w:hint="default"/>
        <w:sz w:val="20"/>
      </w:rPr>
    </w:lvl>
    <w:lvl w:ilvl="7">
      <w:start w:val="1"/>
      <w:numFmt w:val="bullet"/>
      <w:lvlText w:val=""/>
      <w:lvlJc w:val="left"/>
      <w:pPr>
        <w:tabs>
          <w:tab w:val="num" w:pos="9720"/>
        </w:tabs>
        <w:ind w:left="9720" w:hanging="360"/>
      </w:pPr>
      <w:rPr>
        <w:rFonts w:ascii="Symbol" w:hAnsi="Symbol" w:hint="default"/>
        <w:sz w:val="20"/>
      </w:rPr>
    </w:lvl>
    <w:lvl w:ilvl="8">
      <w:start w:val="1"/>
      <w:numFmt w:val="bullet"/>
      <w:lvlText w:val=""/>
      <w:lvlJc w:val="left"/>
      <w:pPr>
        <w:tabs>
          <w:tab w:val="num" w:pos="10440"/>
        </w:tabs>
        <w:ind w:left="1044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635C2D"/>
    <w:rsid w:val="00D71B52"/>
    <w:rsid w:val="00E92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0D0D9-67EE-4576-8B50-D8E5DD1A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2D"/>
    <w:pPr>
      <w:spacing w:after="0" w:line="240" w:lineRule="auto"/>
    </w:pPr>
    <w:rPr>
      <w:rFonts w:ascii="Calibri" w:hAnsi="Calibri" w:cs="Times New Roman"/>
      <w:lang w:eastAsia="en-AU"/>
    </w:rPr>
  </w:style>
  <w:style w:type="paragraph" w:styleId="Heading2">
    <w:name w:val="heading 2"/>
    <w:basedOn w:val="Normal"/>
    <w:link w:val="Heading2Char"/>
    <w:uiPriority w:val="9"/>
    <w:semiHidden/>
    <w:unhideWhenUsed/>
    <w:qFormat/>
    <w:rsid w:val="00635C2D"/>
    <w:pPr>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5C2D"/>
    <w:rPr>
      <w:rFonts w:ascii="Calibri Light" w:hAnsi="Calibri Light" w:cs="Times New Roman"/>
      <w:color w:val="2E74B5"/>
      <w:sz w:val="26"/>
      <w:szCs w:val="26"/>
      <w:lang w:eastAsia="en-AU"/>
    </w:rPr>
  </w:style>
  <w:style w:type="character" w:styleId="Hyperlink">
    <w:name w:val="Hyperlink"/>
    <w:basedOn w:val="DefaultParagraphFont"/>
    <w:uiPriority w:val="99"/>
    <w:semiHidden/>
    <w:unhideWhenUsed/>
    <w:rsid w:val="00635C2D"/>
    <w:rPr>
      <w:color w:val="0563C1"/>
      <w:u w:val="single"/>
    </w:rPr>
  </w:style>
  <w:style w:type="paragraph" w:styleId="NormalWeb">
    <w:name w:val="Normal (Web)"/>
    <w:basedOn w:val="Normal"/>
    <w:uiPriority w:val="99"/>
    <w:semiHidden/>
    <w:unhideWhenUsed/>
    <w:rsid w:val="00635C2D"/>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635C2D"/>
    <w:rPr>
      <w:i/>
      <w:iCs/>
    </w:rPr>
  </w:style>
  <w:style w:type="character" w:styleId="Strong">
    <w:name w:val="Strong"/>
    <w:basedOn w:val="DefaultParagraphFont"/>
    <w:uiPriority w:val="22"/>
    <w:qFormat/>
    <w:rsid w:val="00635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dalton@livingstone.qld.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earon@qldwater.com.au" TargetMode="External"/><Relationship Id="rId12" Type="http://schemas.openxmlformats.org/officeDocument/2006/relationships/hyperlink" Target="http://www.qldwater.com.au/Counter-terro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RS.Consultation@des.qld.gov.au" TargetMode="External"/><Relationship Id="rId11" Type="http://schemas.openxmlformats.org/officeDocument/2006/relationships/hyperlink" Target="http://www.dlgrma.qld.gov.au/resources/guideline/lg-grants/outcome-focused-program-streams.pdf" TargetMode="External"/><Relationship Id="rId5" Type="http://schemas.openxmlformats.org/officeDocument/2006/relationships/hyperlink" Target="https://www.ehp.qld.gov.au/waste/end-of-waste-framework.html" TargetMode="External"/><Relationship Id="rId10" Type="http://schemas.openxmlformats.org/officeDocument/2006/relationships/hyperlink" Target="http://www.dlgrma.qld.gov.au/resources/guideline/lg-grants/financial-grants-review-policy-position.pdf" TargetMode="External"/><Relationship Id="rId4" Type="http://schemas.openxmlformats.org/officeDocument/2006/relationships/webSettings" Target="webSettings.xml"/><Relationship Id="rId9" Type="http://schemas.openxmlformats.org/officeDocument/2006/relationships/hyperlink" Target="mailto:drinkingwater.reporting@dnrme.qld.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2</cp:revision>
  <dcterms:created xsi:type="dcterms:W3CDTF">2018-11-02T06:05:00Z</dcterms:created>
  <dcterms:modified xsi:type="dcterms:W3CDTF">2018-11-02T06:09:00Z</dcterms:modified>
</cp:coreProperties>
</file>